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DC36" w14:textId="37A58783" w:rsidR="00570BC7" w:rsidRDefault="00CA7D91" w:rsidP="006D735C">
      <w:pPr>
        <w:jc w:val="both"/>
      </w:pPr>
      <w:r w:rsidRPr="004F66BF">
        <w:rPr>
          <w:b/>
          <w:bCs/>
        </w:rPr>
        <w:t>Title.</w:t>
      </w:r>
      <w:r>
        <w:t xml:space="preserve"> Knot Theory as an Excuse.</w:t>
      </w:r>
    </w:p>
    <w:p w14:paraId="06571577" w14:textId="7F09D13D" w:rsidR="00026A55" w:rsidRDefault="00026A55" w:rsidP="006D735C">
      <w:pPr>
        <w:jc w:val="both"/>
      </w:pPr>
      <w:r>
        <w:t xml:space="preserve">With </w:t>
      </w:r>
      <w:proofErr w:type="spellStart"/>
      <w:r w:rsidRPr="00A464CC">
        <w:t>ωε</w:t>
      </w:r>
      <w:proofErr w:type="spellEnd"/>
      <w:r w:rsidRPr="00A464CC">
        <w:t>β</w:t>
      </w:r>
      <w:r w:rsidR="009A2D42">
        <w:t xml:space="preserve"> </w:t>
      </w:r>
      <w:r>
        <w:t>:=</w:t>
      </w:r>
      <w:r w:rsidR="009A2D42">
        <w:t xml:space="preserve"> </w:t>
      </w:r>
      <w:hyperlink r:id="rId5" w:history="1">
        <w:r w:rsidR="00447363">
          <w:rPr>
            <w:rStyle w:val="Hyperlink"/>
          </w:rPr>
          <w:t>http://drorbn.net/d24</w:t>
        </w:r>
      </w:hyperlink>
      <w:r>
        <w:t xml:space="preserve">, this Notice of Intent is also at </w:t>
      </w:r>
      <w:hyperlink r:id="rId6" w:history="1">
        <w:proofErr w:type="spellStart"/>
        <w:r w:rsidRPr="00565146">
          <w:rPr>
            <w:rStyle w:val="Hyperlink"/>
          </w:rPr>
          <w:t>ωε</w:t>
        </w:r>
        <w:proofErr w:type="spellEnd"/>
        <w:r w:rsidRPr="00565146">
          <w:rPr>
            <w:rStyle w:val="Hyperlink"/>
          </w:rPr>
          <w:t>β/NOI</w:t>
        </w:r>
      </w:hyperlink>
      <w:r>
        <w:t>.</w:t>
      </w:r>
    </w:p>
    <w:p w14:paraId="740AF953" w14:textId="08F5491B" w:rsidR="00CA7D91" w:rsidRDefault="00CA7D91" w:rsidP="006D735C">
      <w:pPr>
        <w:jc w:val="both"/>
      </w:pPr>
      <w:r>
        <w:t>I’m considered an expert on Knot Theory, yet I don’t understand knot theory at all. From a certain perspective, Knot Theory is the study of some silly combinatorial objects, that are considered modulo equally silly relations. My intuition as a student told me it must be a shallow topic, and there’s still a remnant of that intuition in me.</w:t>
      </w:r>
    </w:p>
    <w:p w14:paraId="04474795" w14:textId="34F97081" w:rsidR="00CA7D91" w:rsidRDefault="00CA7D91" w:rsidP="006D735C">
      <w:pPr>
        <w:jc w:val="both"/>
      </w:pPr>
      <w:r>
        <w:t>Yet time after time this intuition is proven wrong and instead of shallow, Knot Theory is very deep. So much so, that Knot Theory sometimes serves to validate that other topics are interesting</w:t>
      </w:r>
      <w:r w:rsidR="008C300C">
        <w:t>:</w:t>
      </w:r>
      <w:r>
        <w:t xml:space="preserve"> </w:t>
      </w:r>
      <w:r w:rsidRPr="008C300C">
        <w:rPr>
          <w:b/>
          <w:bCs/>
        </w:rPr>
        <w:t>if it has applications to Knot Theory, it must be good</w:t>
      </w:r>
      <w:r>
        <w:t xml:space="preserve">. </w:t>
      </w:r>
      <w:r w:rsidR="008C300C">
        <w:t>(Historically, number theory’s r</w:t>
      </w:r>
      <w:r w:rsidR="008C300C" w:rsidRPr="008C300C">
        <w:t>aison d'être</w:t>
      </w:r>
      <w:r w:rsidR="008C300C">
        <w:t xml:space="preserve"> had been similar</w:t>
      </w:r>
      <w:r w:rsidR="00673CCD">
        <w:t>; recently cryptography became a further bonus).</w:t>
      </w:r>
    </w:p>
    <w:p w14:paraId="0AFEFF09" w14:textId="55743B95" w:rsidR="00673CCD" w:rsidRDefault="00673CCD" w:rsidP="006D735C">
      <w:pPr>
        <w:jc w:val="both"/>
      </w:pPr>
      <w:r>
        <w:t xml:space="preserve">My plan over the grant period would be to continue to use knot theory as an excuse and as a benchmark to study </w:t>
      </w:r>
      <w:r w:rsidR="00B0333E">
        <w:t>several</w:t>
      </w:r>
      <w:r>
        <w:t xml:space="preserve"> other topics, mostly in algebra:</w:t>
      </w:r>
    </w:p>
    <w:p w14:paraId="6A7559C2" w14:textId="317F8350" w:rsidR="00673CCD" w:rsidRDefault="00673CCD" w:rsidP="006D735C">
      <w:pPr>
        <w:pStyle w:val="ListParagraph"/>
        <w:numPr>
          <w:ilvl w:val="0"/>
          <w:numId w:val="1"/>
        </w:numPr>
        <w:jc w:val="both"/>
      </w:pPr>
      <w:r>
        <w:t>I plan to continue to study, along with Roland van der Veen and others, how “solvable approximation” of semisimple Lie algebras (</w:t>
      </w:r>
      <w:r w:rsidR="001374A2">
        <w:t xml:space="preserve">Inonu-Wigner contractions of their lower Borel subalgebras) leads via perturbed Gaussian formulas (in spirit, QFT) to poly-time computable knot invariants that “behave well” under useful knot theoretic operations. </w:t>
      </w:r>
      <w:r w:rsidR="00A464CC">
        <w:t xml:space="preserve">I hope this sounds powerful; it certainly sounds highly technical. Can we make it less technical? Can we rely less on Lie algebra and quantum algebra techniques and instead make the topic intrinsic to knot theory? </w:t>
      </w:r>
      <w:r w:rsidR="00026A55">
        <w:t>S</w:t>
      </w:r>
      <w:r w:rsidR="00A464CC">
        <w:t xml:space="preserve">ee </w:t>
      </w:r>
      <w:hyperlink r:id="rId7" w:history="1">
        <w:proofErr w:type="spellStart"/>
        <w:r w:rsidR="00A464CC" w:rsidRPr="00B0333E">
          <w:rPr>
            <w:rStyle w:val="Hyperlink"/>
          </w:rPr>
          <w:t>ωε</w:t>
        </w:r>
        <w:proofErr w:type="spellEnd"/>
        <w:r w:rsidR="00A464CC" w:rsidRPr="00B0333E">
          <w:rPr>
            <w:rStyle w:val="Hyperlink"/>
          </w:rPr>
          <w:t>β/</w:t>
        </w:r>
        <w:r w:rsidR="00B0333E" w:rsidRPr="00B0333E">
          <w:rPr>
            <w:rStyle w:val="Hyperlink"/>
          </w:rPr>
          <w:t>SolvApp</w:t>
        </w:r>
      </w:hyperlink>
      <w:r w:rsidR="00B0333E">
        <w:t xml:space="preserve">, </w:t>
      </w:r>
      <w:hyperlink r:id="rId8" w:history="1">
        <w:proofErr w:type="spellStart"/>
        <w:r w:rsidR="00B0333E" w:rsidRPr="00B0333E">
          <w:rPr>
            <w:rStyle w:val="Hyperlink"/>
          </w:rPr>
          <w:t>ωε</w:t>
        </w:r>
        <w:proofErr w:type="spellEnd"/>
        <w:r w:rsidR="00B0333E" w:rsidRPr="00B0333E">
          <w:rPr>
            <w:rStyle w:val="Hyperlink"/>
          </w:rPr>
          <w:t>β/PG</w:t>
        </w:r>
      </w:hyperlink>
      <w:r w:rsidR="00B0333E">
        <w:t xml:space="preserve">, </w:t>
      </w:r>
      <w:hyperlink r:id="rId9" w:history="1">
        <w:proofErr w:type="spellStart"/>
        <w:r w:rsidR="00B0333E" w:rsidRPr="00B0333E">
          <w:rPr>
            <w:rStyle w:val="Hyperlink"/>
          </w:rPr>
          <w:t>ωε</w:t>
        </w:r>
        <w:proofErr w:type="spellEnd"/>
        <w:r w:rsidR="00B0333E" w:rsidRPr="00B0333E">
          <w:rPr>
            <w:rStyle w:val="Hyperlink"/>
          </w:rPr>
          <w:t>β/DaNang</w:t>
        </w:r>
      </w:hyperlink>
      <w:r w:rsidR="00B0333E">
        <w:t>.</w:t>
      </w:r>
    </w:p>
    <w:p w14:paraId="03DD6F67" w14:textId="27EC95BD" w:rsidR="00447363" w:rsidRDefault="00447363" w:rsidP="00447363">
      <w:pPr>
        <w:pStyle w:val="ListParagraph"/>
        <w:numPr>
          <w:ilvl w:val="0"/>
          <w:numId w:val="1"/>
        </w:numPr>
        <w:jc w:val="both"/>
      </w:pPr>
      <w:r>
        <w:t>These invariants also have integral formulas, in terms of perturbed Gaussian integrals</w:t>
      </w:r>
      <w:r w:rsidR="0094418B">
        <w:t xml:space="preserve">, which reduce the proofs of their invariance to “use </w:t>
      </w:r>
      <w:proofErr w:type="spellStart"/>
      <w:r w:rsidR="0094418B">
        <w:t>Fubini</w:t>
      </w:r>
      <w:proofErr w:type="spellEnd"/>
      <w:r w:rsidR="0094418B">
        <w:t xml:space="preserve">” (see </w:t>
      </w:r>
      <w:hyperlink r:id="rId10" w:history="1">
        <w:proofErr w:type="spellStart"/>
        <w:r w:rsidR="0094418B">
          <w:rPr>
            <w:rStyle w:val="Hyperlink"/>
          </w:rPr>
          <w:t>ωε</w:t>
        </w:r>
        <w:proofErr w:type="spellEnd"/>
        <w:r w:rsidR="0094418B">
          <w:rPr>
            <w:rStyle w:val="Hyperlink"/>
          </w:rPr>
          <w:t>β/ICBS</w:t>
        </w:r>
      </w:hyperlink>
      <w:r w:rsidR="0094418B">
        <w:t>). Is there a direct knot theoretic reason to expect such formulas?</w:t>
      </w:r>
    </w:p>
    <w:p w14:paraId="546BB529" w14:textId="3A394243" w:rsidR="00A464CC" w:rsidRDefault="00A464CC" w:rsidP="006D735C">
      <w:pPr>
        <w:pStyle w:val="ListParagraph"/>
        <w:numPr>
          <w:ilvl w:val="0"/>
          <w:numId w:val="1"/>
        </w:numPr>
        <w:jc w:val="both"/>
      </w:pPr>
      <w:r>
        <w:t xml:space="preserve">The simplest of these invariants, </w:t>
      </w:r>
      <w:r w:rsidR="00827EF7" w:rsidRPr="00827EF7">
        <w:t>ρ</w:t>
      </w:r>
      <w:r w:rsidR="00827EF7">
        <w:rPr>
          <w:vertAlign w:val="subscript"/>
        </w:rPr>
        <w:t>1</w:t>
      </w:r>
      <w:r w:rsidR="00827EF7">
        <w:t>, is ridiculously simple to define (</w:t>
      </w:r>
      <w:proofErr w:type="spellStart"/>
      <w:r w:rsidR="00B0333E">
        <w:fldChar w:fldCharType="begin"/>
      </w:r>
      <w:r w:rsidR="00B0333E">
        <w:instrText>HYPERLINK "http://drorbn.net/d23/APAI"</w:instrText>
      </w:r>
      <w:r w:rsidR="00B0333E">
        <w:fldChar w:fldCharType="separate"/>
      </w:r>
      <w:r w:rsidR="00827EF7" w:rsidRPr="00B0333E">
        <w:rPr>
          <w:rStyle w:val="Hyperlink"/>
        </w:rPr>
        <w:t>ωε</w:t>
      </w:r>
      <w:proofErr w:type="spellEnd"/>
      <w:r w:rsidR="00827EF7" w:rsidRPr="00B0333E">
        <w:rPr>
          <w:rStyle w:val="Hyperlink"/>
        </w:rPr>
        <w:t>β/APAI</w:t>
      </w:r>
      <w:r w:rsidR="00B0333E">
        <w:fldChar w:fldCharType="end"/>
      </w:r>
      <w:r w:rsidR="00827EF7">
        <w:t xml:space="preserve">, </w:t>
      </w:r>
      <w:hyperlink r:id="rId11" w:history="1">
        <w:proofErr w:type="spellStart"/>
        <w:r w:rsidR="00827EF7" w:rsidRPr="00B0333E">
          <w:rPr>
            <w:rStyle w:val="Hyperlink"/>
          </w:rPr>
          <w:t>ωε</w:t>
        </w:r>
        <w:proofErr w:type="spellEnd"/>
        <w:r w:rsidR="00827EF7" w:rsidRPr="00B0333E">
          <w:rPr>
            <w:rStyle w:val="Hyperlink"/>
          </w:rPr>
          <w:t>β/Cars</w:t>
        </w:r>
      </w:hyperlink>
      <w:r w:rsidR="00827EF7">
        <w:t xml:space="preserve">) and it is perhaps even more ridiculous how much we fail to understand it. In short, </w:t>
      </w:r>
      <w:r w:rsidR="00827EF7" w:rsidRPr="00827EF7">
        <w:t>ρ</w:t>
      </w:r>
      <w:r w:rsidR="00827EF7">
        <w:rPr>
          <w:vertAlign w:val="subscript"/>
        </w:rPr>
        <w:t>1</w:t>
      </w:r>
      <w:r w:rsidR="00827EF7">
        <w:t xml:space="preserve"> is some quadratic expression in the entries of </w:t>
      </w:r>
      <w:r w:rsidR="00827EF7" w:rsidRPr="00827EF7">
        <w:rPr>
          <w:i/>
          <w:iCs/>
        </w:rPr>
        <w:t>A</w:t>
      </w:r>
      <w:r w:rsidR="00827EF7">
        <w:rPr>
          <w:vertAlign w:val="superscript"/>
        </w:rPr>
        <w:t>-1</w:t>
      </w:r>
      <w:r w:rsidR="00827EF7">
        <w:t xml:space="preserve">, where </w:t>
      </w:r>
      <w:r w:rsidR="00827EF7" w:rsidRPr="00827EF7">
        <w:rPr>
          <w:i/>
          <w:iCs/>
        </w:rPr>
        <w:t>A</w:t>
      </w:r>
      <w:r w:rsidR="00827EF7">
        <w:t xml:space="preserve"> is one of the standard matrices whose determinant is the Alexander polynomial </w:t>
      </w:r>
      <w:r w:rsidR="00827EF7" w:rsidRPr="00827EF7">
        <w:t>∆</w:t>
      </w:r>
      <w:r w:rsidR="00827EF7">
        <w:t xml:space="preserve">. Could we start from other matrices </w:t>
      </w:r>
      <w:r w:rsidR="00827EF7">
        <w:rPr>
          <w:i/>
          <w:iCs/>
        </w:rPr>
        <w:t>B</w:t>
      </w:r>
      <w:r w:rsidR="00827EF7">
        <w:t xml:space="preserve"> whose determinants are </w:t>
      </w:r>
      <w:r w:rsidR="00827EF7" w:rsidRPr="00827EF7">
        <w:t>∆</w:t>
      </w:r>
      <w:r w:rsidR="00827EF7">
        <w:t xml:space="preserve">? Can we prove Alexander-like properties of </w:t>
      </w:r>
      <w:r w:rsidR="00827EF7" w:rsidRPr="00827EF7">
        <w:t>ρ</w:t>
      </w:r>
      <w:r w:rsidR="00827EF7">
        <w:rPr>
          <w:vertAlign w:val="subscript"/>
        </w:rPr>
        <w:t>1</w:t>
      </w:r>
      <w:r w:rsidR="00827EF7">
        <w:t xml:space="preserve"> using its similarity with </w:t>
      </w:r>
      <w:r w:rsidR="00827EF7" w:rsidRPr="00827EF7">
        <w:t>∆</w:t>
      </w:r>
      <w:r w:rsidR="00827EF7">
        <w:t xml:space="preserve">? By </w:t>
      </w:r>
      <w:r w:rsidR="00BE41DC">
        <w:t xml:space="preserve">direct computations we observe many such properties, yet we still don’t know how to prove them. And the $1M question: does </w:t>
      </w:r>
      <w:r w:rsidR="00BE41DC" w:rsidRPr="00827EF7">
        <w:t>ρ</w:t>
      </w:r>
      <w:r w:rsidR="00BE41DC">
        <w:rPr>
          <w:vertAlign w:val="subscript"/>
        </w:rPr>
        <w:t>1</w:t>
      </w:r>
      <w:r w:rsidR="00BE41DC">
        <w:t xml:space="preserve"> have special properties on ribbon knots, similar to the Fox-Milnor property of </w:t>
      </w:r>
      <w:r w:rsidR="00BE41DC" w:rsidRPr="00827EF7">
        <w:t>∆</w:t>
      </w:r>
      <w:r w:rsidR="00BE41DC">
        <w:t xml:space="preserve">? If it does, it may lead to </w:t>
      </w:r>
      <w:proofErr w:type="gramStart"/>
      <w:r w:rsidR="00BE41DC">
        <w:t>a new criteria</w:t>
      </w:r>
      <w:proofErr w:type="gramEnd"/>
      <w:r w:rsidR="00BE41DC">
        <w:t xml:space="preserve"> to detect non-ribbon knots. Such criteria are in high demand for they may lead to the detection of counterexamples to the ribbon-slice conjecture, one of the greatest outstanding problems in knot theory.</w:t>
      </w:r>
    </w:p>
    <w:p w14:paraId="41AFCC92" w14:textId="33241161" w:rsidR="0094418B" w:rsidRDefault="0094418B" w:rsidP="006D735C">
      <w:pPr>
        <w:pStyle w:val="ListParagraph"/>
        <w:numPr>
          <w:ilvl w:val="0"/>
          <w:numId w:val="1"/>
        </w:numPr>
        <w:jc w:val="both"/>
      </w:pPr>
      <w:r>
        <w:t xml:space="preserve">The second simplest of these invariants, </w:t>
      </w:r>
      <w:r>
        <w:rPr>
          <w:rFonts w:cstheme="minorHAnsi"/>
        </w:rPr>
        <w:t>Ɵ</w:t>
      </w:r>
      <w:r>
        <w:t xml:space="preserve">, is presently the </w:t>
      </w:r>
      <w:r w:rsidRPr="0094418B">
        <w:rPr>
          <w:b/>
        </w:rPr>
        <w:t>strongest genuinely-computable knot invariant known</w:t>
      </w:r>
      <w:r w:rsidR="00ED207C">
        <w:rPr>
          <w:b/>
        </w:rPr>
        <w:t xml:space="preserve"> </w:t>
      </w:r>
      <w:r w:rsidR="00ED207C">
        <w:t xml:space="preserve">(see </w:t>
      </w:r>
      <w:hyperlink r:id="rId12" w:history="1">
        <w:proofErr w:type="spellStart"/>
        <w:r w:rsidR="00ED207C">
          <w:rPr>
            <w:rStyle w:val="Hyperlink"/>
          </w:rPr>
          <w:t>ωε</w:t>
        </w:r>
        <w:proofErr w:type="spellEnd"/>
        <w:r w:rsidR="00ED207C">
          <w:rPr>
            <w:rStyle w:val="Hyperlink"/>
          </w:rPr>
          <w:t>β/ICBS</w:t>
        </w:r>
      </w:hyperlink>
      <w:r w:rsidR="00ED207C">
        <w:t>)</w:t>
      </w:r>
      <w:r>
        <w:t xml:space="preserve">. “Genuinely computable” means that we’ve computed it on huge knots with over 250 crossings (a slight weakening can be computed on knots with over 500 crossings). “Strongest” means that on </w:t>
      </w:r>
      <w:r w:rsidR="00BF5295">
        <w:t xml:space="preserve">the first 59,937 knots (up to 14 crossings) it attains </w:t>
      </w:r>
      <w:r w:rsidR="009615AF">
        <w:t>58</w:t>
      </w:r>
      <w:r w:rsidR="00030109">
        <w:t>,819</w:t>
      </w:r>
      <w:bookmarkStart w:id="0" w:name="_GoBack"/>
      <w:bookmarkEnd w:id="0"/>
      <w:r w:rsidR="006E7FDD">
        <w:t xml:space="preserve"> distinct values (a deficit of </w:t>
      </w:r>
      <w:r w:rsidR="009615AF">
        <w:t>1,</w:t>
      </w:r>
      <w:r w:rsidR="00030109">
        <w:t>11</w:t>
      </w:r>
      <w:r w:rsidR="006E7FDD">
        <w:t>8), whereas the HOMFLY-PT polynomial and Khovanov homology taken together (famous yet not as computable) have a much greater deficit of 10,788.</w:t>
      </w:r>
      <w:r w:rsidR="00C55A45">
        <w:t xml:space="preserve"> I plan to continue to study </w:t>
      </w:r>
      <w:r w:rsidR="00C55A45">
        <w:rPr>
          <w:rFonts w:cstheme="minorHAnsi"/>
        </w:rPr>
        <w:t>Ɵ.</w:t>
      </w:r>
    </w:p>
    <w:p w14:paraId="3CB764B3" w14:textId="659D69F7" w:rsidR="00BE41DC" w:rsidRDefault="00CE16F0" w:rsidP="006D735C">
      <w:pPr>
        <w:pStyle w:val="ListParagraph"/>
        <w:numPr>
          <w:ilvl w:val="0"/>
          <w:numId w:val="1"/>
        </w:numPr>
        <w:jc w:val="both"/>
      </w:pPr>
      <w:r>
        <w:t xml:space="preserve">Along with Zsuzsanna Dancso, Tamara Hogan, Jessica Liu, and Nancy </w:t>
      </w:r>
      <w:proofErr w:type="spellStart"/>
      <w:r>
        <w:t>Scherich</w:t>
      </w:r>
      <w:proofErr w:type="spellEnd"/>
      <w:r>
        <w:t xml:space="preserve"> (</w:t>
      </w:r>
      <w:proofErr w:type="spellStart"/>
      <w:r w:rsidR="00B0333E">
        <w:fldChar w:fldCharType="begin"/>
      </w:r>
      <w:r w:rsidR="00B0333E">
        <w:instrText>HYPERLINK "http://drorbn.net/d23/PDS"</w:instrText>
      </w:r>
      <w:r w:rsidR="00B0333E">
        <w:fldChar w:fldCharType="separate"/>
      </w:r>
      <w:r w:rsidRPr="00B0333E">
        <w:rPr>
          <w:rStyle w:val="Hyperlink"/>
        </w:rPr>
        <w:t>ωε</w:t>
      </w:r>
      <w:proofErr w:type="spellEnd"/>
      <w:r w:rsidRPr="00B0333E">
        <w:rPr>
          <w:rStyle w:val="Hyperlink"/>
        </w:rPr>
        <w:t>β/PDS</w:t>
      </w:r>
      <w:r w:rsidR="00B0333E">
        <w:fldChar w:fldCharType="end"/>
      </w:r>
      <w:r>
        <w:t>), I plan to continue to study knots and tangles in a “pole dancing studio” (</w:t>
      </w:r>
      <w:r w:rsidR="00D45B99">
        <w:t xml:space="preserve">PDS, </w:t>
      </w:r>
      <w:r>
        <w:t>a cylinder with a few vertical lines removed) and their relationship with the Goldman-Turaev Lie bialgebra and Kashiwara-Vergne (KV) equations (</w:t>
      </w:r>
      <w:proofErr w:type="spellStart"/>
      <w:r w:rsidR="00B0333E">
        <w:fldChar w:fldCharType="begin"/>
      </w:r>
      <w:r w:rsidR="00B0333E">
        <w:instrText>HYPERLINK "http://drorbn.net/d23/AKKN"</w:instrText>
      </w:r>
      <w:r w:rsidR="00B0333E">
        <w:fldChar w:fldCharType="separate"/>
      </w:r>
      <w:r w:rsidRPr="00B0333E">
        <w:rPr>
          <w:rStyle w:val="Hyperlink"/>
        </w:rPr>
        <w:t>ωε</w:t>
      </w:r>
      <w:proofErr w:type="spellEnd"/>
      <w:r w:rsidRPr="00B0333E">
        <w:rPr>
          <w:rStyle w:val="Hyperlink"/>
        </w:rPr>
        <w:t>β/AKKN</w:t>
      </w:r>
      <w:r w:rsidR="00B0333E">
        <w:fldChar w:fldCharType="end"/>
      </w:r>
      <w:r>
        <w:t xml:space="preserve">). Are </w:t>
      </w:r>
      <w:r w:rsidR="00D45B99">
        <w:t xml:space="preserve">solutions of the KV equations sufficient to construct a homomorphic expansion of tangles in a PDS up to strand-strand degree 1? How is this related to my earlier work with </w:t>
      </w:r>
      <w:proofErr w:type="spellStart"/>
      <w:r w:rsidR="00D45B99">
        <w:t>Dancso</w:t>
      </w:r>
      <w:proofErr w:type="spellEnd"/>
      <w:r w:rsidR="00D45B99">
        <w:t xml:space="preserve"> (</w:t>
      </w:r>
      <w:proofErr w:type="spellStart"/>
      <w:r w:rsidR="00A74511">
        <w:fldChar w:fldCharType="begin"/>
      </w:r>
      <w:r w:rsidR="00A74511">
        <w:instrText>HYPERLINK "http://drorbn.net/d23/WKO1"</w:instrText>
      </w:r>
      <w:r w:rsidR="00A74511">
        <w:fldChar w:fldCharType="separate"/>
      </w:r>
      <w:r w:rsidR="00D45B99" w:rsidRPr="00A74511">
        <w:rPr>
          <w:rStyle w:val="Hyperlink"/>
        </w:rPr>
        <w:t>ωε</w:t>
      </w:r>
      <w:proofErr w:type="spellEnd"/>
      <w:r w:rsidR="00D45B99" w:rsidRPr="00A74511">
        <w:rPr>
          <w:rStyle w:val="Hyperlink"/>
        </w:rPr>
        <w:t>β/WKO1</w:t>
      </w:r>
      <w:r w:rsidR="00A74511">
        <w:fldChar w:fldCharType="end"/>
      </w:r>
      <w:r w:rsidR="00B0333E">
        <w:t xml:space="preserve">, </w:t>
      </w:r>
      <w:hyperlink r:id="rId13" w:history="1">
        <w:proofErr w:type="spellStart"/>
        <w:r w:rsidR="00B0333E" w:rsidRPr="00A74511">
          <w:rPr>
            <w:rStyle w:val="Hyperlink"/>
          </w:rPr>
          <w:t>ωε</w:t>
        </w:r>
        <w:proofErr w:type="spellEnd"/>
        <w:r w:rsidR="00B0333E" w:rsidRPr="00A74511">
          <w:rPr>
            <w:rStyle w:val="Hyperlink"/>
          </w:rPr>
          <w:t>β/WKO2</w:t>
        </w:r>
      </w:hyperlink>
      <w:r w:rsidR="00D45B99">
        <w:t xml:space="preserve">) on welded knots? The subject is beautiful, yet it is a hard-to-penetrate patchwork of results and techniques and papers by different authors. In the past, this feeling that a subject’s beauty is incongruous with its complexity had been a great motivator for me, often leading to deeper understanding. </w:t>
      </w:r>
      <w:r w:rsidR="00A643EA">
        <w:t>I have high hopes for this topic too.</w:t>
      </w:r>
    </w:p>
    <w:p w14:paraId="71B7E1DA" w14:textId="6DC335BD" w:rsidR="00A643EA" w:rsidRDefault="00A643EA" w:rsidP="006D735C">
      <w:pPr>
        <w:pStyle w:val="ListParagraph"/>
        <w:numPr>
          <w:ilvl w:val="0"/>
          <w:numId w:val="1"/>
        </w:numPr>
        <w:jc w:val="both"/>
      </w:pPr>
      <w:r>
        <w:t>Recently (</w:t>
      </w:r>
      <w:proofErr w:type="spellStart"/>
      <w:r w:rsidR="0068076E">
        <w:fldChar w:fldCharType="begin"/>
      </w:r>
      <w:r w:rsidR="0068076E">
        <w:instrText>HYPERLINK "http://drorbn.net/d23/PQ"</w:instrText>
      </w:r>
      <w:r w:rsidR="0068076E">
        <w:fldChar w:fldCharType="separate"/>
      </w:r>
      <w:r w:rsidRPr="0068076E">
        <w:rPr>
          <w:rStyle w:val="Hyperlink"/>
        </w:rPr>
        <w:t>ωε</w:t>
      </w:r>
      <w:proofErr w:type="spellEnd"/>
      <w:r w:rsidRPr="0068076E">
        <w:rPr>
          <w:rStyle w:val="Hyperlink"/>
        </w:rPr>
        <w:t>β/PQ</w:t>
      </w:r>
      <w:r w:rsidR="0068076E">
        <w:fldChar w:fldCharType="end"/>
      </w:r>
      <w:r>
        <w:t>), along with Jessica Liu, we’ve found a truly elegant “signatures for tangles” invariant (sorry for complimenting ourselves, yet hey, it really is elegant). There is more to do before we can claim to fully understand these signatures</w:t>
      </w:r>
      <w:r w:rsidR="00DB763B">
        <w:t>, and I hope to pursue that over the grant period.</w:t>
      </w:r>
    </w:p>
    <w:sectPr w:rsidR="00A643EA" w:rsidSect="006D735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1196"/>
    <w:multiLevelType w:val="hybridMultilevel"/>
    <w:tmpl w:val="7248AF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oofState w:spelling="clean" w:grammar="clean"/>
  <w:defaultTabStop w:val="720"/>
  <w:characterSpacingControl w:val="doNotCompress"/>
  <w:compat>
    <w:compatSetting w:name="compatibilityMode" w:uri="http://schemas.microsoft.com/office/word" w:val="12"/>
  </w:compat>
  <w:rsids>
    <w:rsidRoot w:val="00825F99"/>
    <w:rsid w:val="00026A55"/>
    <w:rsid w:val="00030109"/>
    <w:rsid w:val="001374A2"/>
    <w:rsid w:val="0015793D"/>
    <w:rsid w:val="00447363"/>
    <w:rsid w:val="004F66BF"/>
    <w:rsid w:val="00565146"/>
    <w:rsid w:val="00570BC7"/>
    <w:rsid w:val="00673CCD"/>
    <w:rsid w:val="0068076E"/>
    <w:rsid w:val="006D735C"/>
    <w:rsid w:val="006E7FDD"/>
    <w:rsid w:val="00825F99"/>
    <w:rsid w:val="00827EF7"/>
    <w:rsid w:val="008C300C"/>
    <w:rsid w:val="0094418B"/>
    <w:rsid w:val="009615AF"/>
    <w:rsid w:val="009A2D42"/>
    <w:rsid w:val="00A464CC"/>
    <w:rsid w:val="00A643EA"/>
    <w:rsid w:val="00A74511"/>
    <w:rsid w:val="00AF3DCC"/>
    <w:rsid w:val="00B0333E"/>
    <w:rsid w:val="00BE41DC"/>
    <w:rsid w:val="00BF5295"/>
    <w:rsid w:val="00C55A45"/>
    <w:rsid w:val="00CA7D91"/>
    <w:rsid w:val="00CE16F0"/>
    <w:rsid w:val="00D45B99"/>
    <w:rsid w:val="00DB763B"/>
    <w:rsid w:val="00DD3E70"/>
    <w:rsid w:val="00E00729"/>
    <w:rsid w:val="00ED207C"/>
    <w:rsid w:val="00FB2B7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2A6D"/>
  <w15:chartTrackingRefBased/>
  <w15:docId w15:val="{E93907F0-46F1-42FD-9045-3D4B3607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CD"/>
    <w:pPr>
      <w:ind w:left="720"/>
      <w:contextualSpacing/>
    </w:pPr>
  </w:style>
  <w:style w:type="character" w:styleId="Hyperlink">
    <w:name w:val="Hyperlink"/>
    <w:basedOn w:val="DefaultParagraphFont"/>
    <w:uiPriority w:val="99"/>
    <w:unhideWhenUsed/>
    <w:rsid w:val="00AF3DCC"/>
    <w:rPr>
      <w:color w:val="0563C1" w:themeColor="hyperlink"/>
      <w:u w:val="single"/>
    </w:rPr>
  </w:style>
  <w:style w:type="character" w:customStyle="1" w:styleId="UnresolvedMention">
    <w:name w:val="Unresolved Mention"/>
    <w:basedOn w:val="DefaultParagraphFont"/>
    <w:uiPriority w:val="99"/>
    <w:semiHidden/>
    <w:unhideWhenUsed/>
    <w:rsid w:val="00AF3DCC"/>
    <w:rPr>
      <w:color w:val="605E5C"/>
      <w:shd w:val="clear" w:color="auto" w:fill="E1DFDD"/>
    </w:rPr>
  </w:style>
  <w:style w:type="character" w:styleId="FollowedHyperlink">
    <w:name w:val="FollowedHyperlink"/>
    <w:basedOn w:val="DefaultParagraphFont"/>
    <w:uiPriority w:val="99"/>
    <w:semiHidden/>
    <w:unhideWhenUsed/>
    <w:rsid w:val="00DD3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502">
      <w:bodyDiv w:val="1"/>
      <w:marLeft w:val="0"/>
      <w:marRight w:val="0"/>
      <w:marTop w:val="0"/>
      <w:marBottom w:val="0"/>
      <w:divBdr>
        <w:top w:val="none" w:sz="0" w:space="0" w:color="auto"/>
        <w:left w:val="none" w:sz="0" w:space="0" w:color="auto"/>
        <w:bottom w:val="none" w:sz="0" w:space="0" w:color="auto"/>
        <w:right w:val="none" w:sz="0" w:space="0" w:color="auto"/>
      </w:divBdr>
    </w:div>
    <w:div w:id="15824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orbn.net/d23/PG" TargetMode="External"/><Relationship Id="rId13" Type="http://schemas.openxmlformats.org/officeDocument/2006/relationships/hyperlink" Target="http://drorbn.net/d23/WKO2" TargetMode="External"/><Relationship Id="rId3" Type="http://schemas.openxmlformats.org/officeDocument/2006/relationships/settings" Target="settings.xml"/><Relationship Id="rId7" Type="http://schemas.openxmlformats.org/officeDocument/2006/relationships/hyperlink" Target="http://drorbn.net/d23/SolvApp" TargetMode="External"/><Relationship Id="rId12" Type="http://schemas.openxmlformats.org/officeDocument/2006/relationships/hyperlink" Target="http://drorbn.net/d24/IC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orbn.net/d23/NOI" TargetMode="External"/><Relationship Id="rId11" Type="http://schemas.openxmlformats.org/officeDocument/2006/relationships/hyperlink" Target="http://drorbn.net/d23/Cars" TargetMode="External"/><Relationship Id="rId5" Type="http://schemas.openxmlformats.org/officeDocument/2006/relationships/hyperlink" Target="http://drorbn.net/d24" TargetMode="External"/><Relationship Id="rId15" Type="http://schemas.openxmlformats.org/officeDocument/2006/relationships/theme" Target="theme/theme1.xml"/><Relationship Id="rId10" Type="http://schemas.openxmlformats.org/officeDocument/2006/relationships/hyperlink" Target="http://drorbn.net/d24/ICBS" TargetMode="External"/><Relationship Id="rId4" Type="http://schemas.openxmlformats.org/officeDocument/2006/relationships/webSettings" Target="webSettings.xml"/><Relationship Id="rId9" Type="http://schemas.openxmlformats.org/officeDocument/2006/relationships/hyperlink" Target="http://drorbn.net/d23/DaNa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5458</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Bar-Natan</dc:creator>
  <cp:keywords/>
  <dc:description/>
  <cp:lastModifiedBy>Dror Bar-Natan</cp:lastModifiedBy>
  <cp:revision>21</cp:revision>
  <cp:lastPrinted>2024-07-24T04:08:00Z</cp:lastPrinted>
  <dcterms:created xsi:type="dcterms:W3CDTF">2023-07-24T08:10:00Z</dcterms:created>
  <dcterms:modified xsi:type="dcterms:W3CDTF">2024-07-24T04:10:00Z</dcterms:modified>
</cp:coreProperties>
</file>